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F0" w:rsidRPr="009E7AE0" w:rsidRDefault="002260F0" w:rsidP="002260F0">
      <w:pPr>
        <w:rPr>
          <w:rFonts w:eastAsia="標楷體"/>
          <w:sz w:val="28"/>
          <w:szCs w:val="28"/>
          <w:lang w:eastAsia="zh-TW"/>
        </w:rPr>
      </w:pPr>
      <w:proofErr w:type="gramStart"/>
      <w:r w:rsidRPr="00900B5F">
        <w:rPr>
          <w:rFonts w:eastAsia="標楷體"/>
          <w:sz w:val="28"/>
          <w:szCs w:val="28"/>
          <w:lang w:eastAsia="zh-TW"/>
        </w:rPr>
        <w:t xml:space="preserve">B.  </w:t>
      </w:r>
      <w:r w:rsidRPr="00900B5F">
        <w:rPr>
          <w:rFonts w:eastAsia="標楷體" w:hAnsi="標楷體"/>
          <w:sz w:val="28"/>
          <w:szCs w:val="28"/>
          <w:lang w:eastAsia="zh-TW"/>
        </w:rPr>
        <w:t>高分子化學組</w:t>
      </w:r>
      <w:proofErr w:type="gramEnd"/>
      <w:r w:rsidRPr="00900B5F">
        <w:rPr>
          <w:rFonts w:eastAsia="標楷體"/>
          <w:sz w:val="28"/>
          <w:szCs w:val="28"/>
          <w:lang w:eastAsia="zh-TW"/>
        </w:rPr>
        <w:t xml:space="preserve">  </w:t>
      </w:r>
      <w:r>
        <w:rPr>
          <w:rFonts w:eastAsia="標楷體"/>
          <w:sz w:val="28"/>
          <w:szCs w:val="28"/>
          <w:lang w:eastAsia="zh-TW"/>
        </w:rPr>
        <w:t xml:space="preserve"> </w:t>
      </w:r>
      <w:r w:rsidRPr="00900B5F">
        <w:rPr>
          <w:rFonts w:eastAsia="標楷體"/>
          <w:sz w:val="28"/>
          <w:szCs w:val="28"/>
          <w:lang w:eastAsia="zh-TW"/>
        </w:rPr>
        <w:t xml:space="preserve"> 103</w:t>
      </w:r>
      <w:r w:rsidRPr="00900B5F">
        <w:rPr>
          <w:rFonts w:eastAsia="標楷體" w:hAnsi="標楷體"/>
          <w:sz w:val="28"/>
          <w:szCs w:val="28"/>
          <w:lang w:eastAsia="zh-TW"/>
        </w:rPr>
        <w:t>年</w:t>
      </w:r>
      <w:r w:rsidRPr="00900B5F">
        <w:rPr>
          <w:rFonts w:eastAsia="標楷體"/>
          <w:sz w:val="28"/>
          <w:szCs w:val="28"/>
          <w:lang w:eastAsia="zh-TW"/>
        </w:rPr>
        <w:t>1</w:t>
      </w:r>
      <w:r w:rsidRPr="00900B5F">
        <w:rPr>
          <w:rFonts w:eastAsia="標楷體" w:hAnsi="標楷體"/>
          <w:sz w:val="28"/>
          <w:szCs w:val="28"/>
          <w:lang w:eastAsia="zh-TW"/>
        </w:rPr>
        <w:t>月</w:t>
      </w:r>
      <w:r w:rsidRPr="00900B5F">
        <w:rPr>
          <w:rFonts w:eastAsia="標楷體"/>
          <w:sz w:val="28"/>
          <w:szCs w:val="28"/>
          <w:lang w:eastAsia="zh-TW"/>
        </w:rPr>
        <w:t>10</w:t>
      </w:r>
      <w:r w:rsidRPr="00900B5F">
        <w:rPr>
          <w:rFonts w:eastAsia="標楷體" w:hAnsi="標楷體"/>
          <w:sz w:val="28"/>
          <w:szCs w:val="28"/>
          <w:lang w:eastAsia="zh-TW"/>
        </w:rPr>
        <w:t>日</w:t>
      </w:r>
      <w:r w:rsidRPr="009E7AE0">
        <w:rPr>
          <w:rFonts w:eastAsia="標楷體" w:hint="eastAsia"/>
          <w:sz w:val="28"/>
          <w:szCs w:val="28"/>
          <w:lang w:eastAsia="zh-TW"/>
        </w:rPr>
        <w:t>無議程</w:t>
      </w:r>
    </w:p>
    <w:p w:rsidR="002260F0" w:rsidRPr="00215081" w:rsidRDefault="002260F0" w:rsidP="002260F0">
      <w:pPr>
        <w:rPr>
          <w:rFonts w:eastAsia="標楷體"/>
          <w:sz w:val="28"/>
          <w:szCs w:val="28"/>
          <w:lang w:eastAsia="zh-TW"/>
        </w:rPr>
      </w:pPr>
      <w:proofErr w:type="gramStart"/>
      <w:r w:rsidRPr="00900B5F">
        <w:rPr>
          <w:rFonts w:eastAsia="標楷體"/>
          <w:sz w:val="28"/>
          <w:szCs w:val="28"/>
          <w:lang w:eastAsia="zh-TW"/>
        </w:rPr>
        <w:t xml:space="preserve">B.  </w:t>
      </w:r>
      <w:proofErr w:type="gramEnd"/>
      <w:r w:rsidRPr="00900B5F">
        <w:rPr>
          <w:rFonts w:eastAsia="標楷體" w:hAnsi="標楷體"/>
          <w:sz w:val="28"/>
          <w:szCs w:val="28"/>
          <w:lang w:eastAsia="zh-TW"/>
        </w:rPr>
        <w:t>高分子化學組</w:t>
      </w:r>
      <w:r w:rsidRPr="00900B5F">
        <w:rPr>
          <w:rFonts w:eastAsia="標楷體"/>
          <w:sz w:val="28"/>
          <w:szCs w:val="28"/>
          <w:lang w:eastAsia="zh-TW"/>
        </w:rPr>
        <w:t xml:space="preserve">  </w:t>
      </w:r>
      <w:r w:rsidRPr="00900B5F">
        <w:rPr>
          <w:rFonts w:eastAsia="標楷體" w:hAnsi="標楷體"/>
          <w:sz w:val="28"/>
          <w:szCs w:val="28"/>
          <w:lang w:eastAsia="zh-TW"/>
        </w:rPr>
        <w:t>地點：</w:t>
      </w:r>
      <w:r w:rsidRPr="00215081">
        <w:rPr>
          <w:rFonts w:eastAsia="標楷體"/>
          <w:sz w:val="28"/>
          <w:szCs w:val="28"/>
          <w:lang w:eastAsia="zh-TW"/>
        </w:rPr>
        <w:t xml:space="preserve"> 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H104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教室</w:t>
      </w:r>
      <w:r w:rsidRPr="00215081">
        <w:rPr>
          <w:rFonts w:eastAsia="標楷體"/>
          <w:sz w:val="28"/>
          <w:szCs w:val="28"/>
          <w:lang w:eastAsia="zh-TW"/>
        </w:rPr>
        <w:t xml:space="preserve">         </w:t>
      </w:r>
      <w:r>
        <w:rPr>
          <w:rFonts w:eastAsia="標楷體" w:hint="eastAsia"/>
          <w:sz w:val="28"/>
          <w:szCs w:val="28"/>
          <w:lang w:eastAsia="zh-TW"/>
        </w:rPr>
        <w:t xml:space="preserve">       </w:t>
      </w:r>
      <w:r w:rsidRPr="00215081">
        <w:rPr>
          <w:rFonts w:eastAsia="標楷體"/>
          <w:sz w:val="28"/>
          <w:szCs w:val="28"/>
          <w:lang w:eastAsia="zh-TW"/>
        </w:rPr>
        <w:t xml:space="preserve"> 103</w:t>
      </w:r>
      <w:r w:rsidRPr="00215081">
        <w:rPr>
          <w:rFonts w:eastAsia="標楷體" w:hAnsi="標楷體"/>
          <w:sz w:val="28"/>
          <w:szCs w:val="28"/>
          <w:lang w:eastAsia="zh-TW"/>
        </w:rPr>
        <w:t>年</w:t>
      </w:r>
      <w:r w:rsidRPr="00215081">
        <w:rPr>
          <w:rFonts w:eastAsia="標楷體"/>
          <w:sz w:val="28"/>
          <w:szCs w:val="28"/>
          <w:lang w:eastAsia="zh-TW"/>
        </w:rPr>
        <w:t>1</w:t>
      </w:r>
      <w:r w:rsidRPr="00215081">
        <w:rPr>
          <w:rFonts w:eastAsia="標楷體" w:hAnsi="標楷體"/>
          <w:sz w:val="28"/>
          <w:szCs w:val="28"/>
          <w:lang w:eastAsia="zh-TW"/>
        </w:rPr>
        <w:t>月</w:t>
      </w:r>
      <w:r w:rsidRPr="00215081">
        <w:rPr>
          <w:rFonts w:eastAsia="標楷體"/>
          <w:sz w:val="28"/>
          <w:szCs w:val="28"/>
          <w:lang w:eastAsia="zh-TW"/>
        </w:rPr>
        <w:t>11</w:t>
      </w:r>
      <w:r w:rsidRPr="00215081">
        <w:rPr>
          <w:rFonts w:eastAsia="標楷體" w:hAnsi="標楷體"/>
          <w:sz w:val="28"/>
          <w:szCs w:val="28"/>
          <w:lang w:eastAsia="zh-TW"/>
        </w:rPr>
        <w:t>日</w:t>
      </w:r>
      <w:r w:rsidRPr="00215081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3"/>
        <w:tblW w:w="9781" w:type="dxa"/>
        <w:tblInd w:w="108" w:type="dxa"/>
        <w:tblLook w:val="04A0"/>
      </w:tblPr>
      <w:tblGrid>
        <w:gridCol w:w="790"/>
        <w:gridCol w:w="1440"/>
        <w:gridCol w:w="5142"/>
        <w:gridCol w:w="1559"/>
        <w:gridCol w:w="850"/>
      </w:tblGrid>
      <w:tr w:rsidR="002260F0" w:rsidRPr="002655AE" w:rsidTr="00716816">
        <w:tc>
          <w:tcPr>
            <w:tcW w:w="9781" w:type="dxa"/>
            <w:gridSpan w:val="5"/>
          </w:tcPr>
          <w:p w:rsidR="002260F0" w:rsidRPr="00910B04" w:rsidRDefault="002260F0" w:rsidP="00716816">
            <w:pPr>
              <w:spacing w:line="320" w:lineRule="exact"/>
              <w:ind w:firstLineChars="191" w:firstLine="458"/>
              <w:jc w:val="center"/>
              <w:rPr>
                <w:rFonts w:eastAsia="標楷體" w:hAnsi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>陳雲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2260F0" w:rsidRPr="002655AE" w:rsidTr="00716816">
        <w:tc>
          <w:tcPr>
            <w:tcW w:w="790" w:type="dxa"/>
          </w:tcPr>
          <w:p w:rsidR="002260F0" w:rsidRPr="002655AE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2260F0" w:rsidRPr="002655AE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142" w:type="dxa"/>
          </w:tcPr>
          <w:p w:rsidR="002260F0" w:rsidRPr="002655AE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559" w:type="dxa"/>
          </w:tcPr>
          <w:p w:rsidR="002260F0" w:rsidRPr="002655AE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850" w:type="dxa"/>
          </w:tcPr>
          <w:p w:rsidR="002260F0" w:rsidRPr="002655AE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2260F0" w:rsidTr="00716816">
        <w:tc>
          <w:tcPr>
            <w:tcW w:w="790" w:type="dxa"/>
          </w:tcPr>
          <w:p w:rsidR="002260F0" w:rsidRPr="00484631" w:rsidRDefault="002260F0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>
              <w:t>OB01</w:t>
            </w:r>
          </w:p>
        </w:tc>
        <w:tc>
          <w:tcPr>
            <w:tcW w:w="144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09:00~09:</w:t>
            </w:r>
            <w:r>
              <w:rPr>
                <w:rFonts w:eastAsiaTheme="minorEastAsia" w:hint="eastAsia"/>
                <w:sz w:val="24"/>
                <w:lang w:eastAsia="zh-TW"/>
              </w:rPr>
              <w:t>30</w:t>
            </w:r>
          </w:p>
        </w:tc>
        <w:tc>
          <w:tcPr>
            <w:tcW w:w="5142" w:type="dxa"/>
          </w:tcPr>
          <w:p w:rsidR="002260F0" w:rsidRPr="00BA70C3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70C3">
              <w:rPr>
                <w:rFonts w:eastAsia="標楷體"/>
                <w:sz w:val="24"/>
              </w:rPr>
              <w:t xml:space="preserve">Fluorescent conjugated polymer </w:t>
            </w:r>
            <w:proofErr w:type="spellStart"/>
            <w:r w:rsidRPr="00BA70C3">
              <w:rPr>
                <w:rFonts w:eastAsia="標楷體"/>
                <w:sz w:val="24"/>
              </w:rPr>
              <w:t>chemosensors</w:t>
            </w:r>
            <w:proofErr w:type="spellEnd"/>
            <w:r w:rsidRPr="00BA70C3">
              <w:rPr>
                <w:rFonts w:eastAsia="標楷體"/>
                <w:sz w:val="24"/>
              </w:rPr>
              <w:t xml:space="preserve"> for transition metal ion and pH sensing</w:t>
            </w:r>
          </w:p>
        </w:tc>
        <w:tc>
          <w:tcPr>
            <w:tcW w:w="1559" w:type="dxa"/>
          </w:tcPr>
          <w:p w:rsidR="002260F0" w:rsidRPr="00BA70C3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BA70C3">
              <w:rPr>
                <w:rFonts w:eastAsia="標楷體" w:hAnsi="標楷體"/>
                <w:sz w:val="24"/>
                <w:lang w:eastAsia="zh-TW"/>
              </w:rPr>
              <w:t>楊博智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484631" w:rsidRDefault="002260F0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>
              <w:t>OB02</w:t>
            </w:r>
          </w:p>
        </w:tc>
        <w:tc>
          <w:tcPr>
            <w:tcW w:w="144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09:30~09:45</w:t>
            </w:r>
          </w:p>
        </w:tc>
        <w:tc>
          <w:tcPr>
            <w:tcW w:w="5142" w:type="dxa"/>
            <w:shd w:val="clear" w:color="auto" w:fill="auto"/>
          </w:tcPr>
          <w:p w:rsidR="002260F0" w:rsidRPr="00BA70C3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70C3">
              <w:rPr>
                <w:rFonts w:eastAsia="標楷體" w:hAnsi="標楷體"/>
                <w:sz w:val="24"/>
                <w:lang w:eastAsia="zh-TW"/>
              </w:rPr>
              <w:t>立體規則性發光聚合物之合成與發光性質研究</w:t>
            </w:r>
          </w:p>
        </w:tc>
        <w:tc>
          <w:tcPr>
            <w:tcW w:w="1559" w:type="dxa"/>
            <w:shd w:val="clear" w:color="auto" w:fill="auto"/>
          </w:tcPr>
          <w:p w:rsidR="002260F0" w:rsidRPr="00BA70C3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BA70C3">
              <w:rPr>
                <w:rFonts w:eastAsia="標楷體" w:hAnsi="標楷體"/>
                <w:sz w:val="24"/>
              </w:rPr>
              <w:t>江晟鋐</w:t>
            </w: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ED55FE" w:rsidRDefault="002260F0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>
              <w:t>OB03</w:t>
            </w:r>
          </w:p>
        </w:tc>
        <w:tc>
          <w:tcPr>
            <w:tcW w:w="144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09:45~10:00</w:t>
            </w:r>
          </w:p>
        </w:tc>
        <w:tc>
          <w:tcPr>
            <w:tcW w:w="5142" w:type="dxa"/>
            <w:shd w:val="clear" w:color="auto" w:fill="auto"/>
          </w:tcPr>
          <w:p w:rsidR="002260F0" w:rsidRPr="00BA70C3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proofErr w:type="spellStart"/>
            <w:r w:rsidRPr="00BA70C3">
              <w:rPr>
                <w:rFonts w:eastAsia="標楷體"/>
                <w:sz w:val="24"/>
              </w:rPr>
              <w:t>Steric</w:t>
            </w:r>
            <w:proofErr w:type="spellEnd"/>
            <w:r w:rsidRPr="00BA70C3">
              <w:rPr>
                <w:rFonts w:eastAsia="標楷體"/>
                <w:sz w:val="24"/>
              </w:rPr>
              <w:t xml:space="preserve"> hindrance-control synthesis of primary amine-containing </w:t>
            </w:r>
            <w:proofErr w:type="spellStart"/>
            <w:r w:rsidRPr="00BA70C3">
              <w:rPr>
                <w:rFonts w:eastAsia="標楷體"/>
                <w:sz w:val="24"/>
              </w:rPr>
              <w:t>benzoxazines</w:t>
            </w:r>
            <w:proofErr w:type="spellEnd"/>
            <w:r w:rsidRPr="00BA70C3">
              <w:rPr>
                <w:rFonts w:eastAsia="標楷體"/>
                <w:sz w:val="24"/>
              </w:rPr>
              <w:t>, and properties of the resulting poly(</w:t>
            </w:r>
            <w:proofErr w:type="spellStart"/>
            <w:r w:rsidRPr="00BA70C3">
              <w:rPr>
                <w:rFonts w:eastAsia="標楷體"/>
                <w:sz w:val="24"/>
              </w:rPr>
              <w:t>benzoxazine</w:t>
            </w:r>
            <w:proofErr w:type="spellEnd"/>
            <w:r w:rsidRPr="00BA70C3">
              <w:rPr>
                <w:rFonts w:eastAsia="標楷體"/>
                <w:sz w:val="24"/>
              </w:rPr>
              <w:t xml:space="preserve"> </w:t>
            </w:r>
            <w:proofErr w:type="spellStart"/>
            <w:r w:rsidRPr="00BA70C3">
              <w:rPr>
                <w:rFonts w:eastAsia="標楷體"/>
                <w:sz w:val="24"/>
              </w:rPr>
              <w:t>imide</w:t>
            </w:r>
            <w:proofErr w:type="spellEnd"/>
            <w:r w:rsidRPr="00BA70C3">
              <w:rPr>
                <w:rFonts w:eastAsia="標楷體"/>
                <w:sz w:val="24"/>
              </w:rPr>
              <w:t>) thermo</w:t>
            </w:r>
            <w:r>
              <w:rPr>
                <w:rFonts w:eastAsia="標楷體" w:hint="eastAsia"/>
                <w:sz w:val="24"/>
                <w:lang w:eastAsia="zh-TW"/>
              </w:rPr>
              <w:t xml:space="preserve"> -</w:t>
            </w:r>
            <w:r w:rsidRPr="00BA70C3">
              <w:rPr>
                <w:rFonts w:eastAsia="標楷體"/>
                <w:sz w:val="24"/>
              </w:rPr>
              <w:t>setting films</w:t>
            </w:r>
          </w:p>
        </w:tc>
        <w:tc>
          <w:tcPr>
            <w:tcW w:w="1559" w:type="dxa"/>
            <w:shd w:val="clear" w:color="auto" w:fill="auto"/>
          </w:tcPr>
          <w:p w:rsidR="002260F0" w:rsidRPr="00BA70C3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BA70C3">
              <w:rPr>
                <w:rFonts w:eastAsia="標楷體" w:hAnsi="標楷體"/>
                <w:sz w:val="24"/>
              </w:rPr>
              <w:t>汪孟緯</w:t>
            </w:r>
          </w:p>
          <w:p w:rsidR="002260F0" w:rsidRPr="00BA70C3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9781" w:type="dxa"/>
            <w:gridSpan w:val="5"/>
          </w:tcPr>
          <w:p w:rsidR="002260F0" w:rsidRPr="0021508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15081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2260F0" w:rsidTr="00716816">
        <w:tc>
          <w:tcPr>
            <w:tcW w:w="9781" w:type="dxa"/>
            <w:gridSpan w:val="5"/>
          </w:tcPr>
          <w:p w:rsidR="002260F0" w:rsidRPr="00215081" w:rsidRDefault="002260F0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 w:rsidRPr="00F24FA4">
              <w:rPr>
                <w:rFonts w:ascii="標楷體" w:eastAsia="標楷體" w:hAnsi="標楷體"/>
                <w:sz w:val="24"/>
                <w:lang w:eastAsia="zh-TW"/>
              </w:rPr>
              <w:t>楊博智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2260F0" w:rsidTr="00716816"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OB04</w:t>
            </w: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10:30~1</w:t>
            </w:r>
            <w:r>
              <w:rPr>
                <w:rFonts w:eastAsia="標楷體" w:hint="eastAsia"/>
                <w:sz w:val="24"/>
                <w:lang w:eastAsia="zh-TW"/>
              </w:rPr>
              <w:t>1</w:t>
            </w:r>
            <w:r w:rsidRPr="00BA5371">
              <w:rPr>
                <w:rFonts w:eastAsia="標楷體"/>
                <w:sz w:val="24"/>
                <w:lang w:eastAsia="zh-TW"/>
              </w:rPr>
              <w:t>:00</w:t>
            </w:r>
          </w:p>
        </w:tc>
        <w:tc>
          <w:tcPr>
            <w:tcW w:w="5142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 w:hAnsi="標楷體"/>
                <w:sz w:val="24"/>
                <w:lang w:eastAsia="zh-TW"/>
              </w:rPr>
              <w:t>超臨界二氧化碳發泡製備法奈米孔徑之熱塑性聚氨酯複合材料研究</w:t>
            </w:r>
          </w:p>
        </w:tc>
        <w:tc>
          <w:tcPr>
            <w:tcW w:w="1559" w:type="dxa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 w:hAnsi="標楷體"/>
                <w:sz w:val="24"/>
                <w:lang w:eastAsia="zh-TW"/>
              </w:rPr>
              <w:t>葉樹開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OB05</w:t>
            </w: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11:00~11:15</w:t>
            </w:r>
          </w:p>
        </w:tc>
        <w:tc>
          <w:tcPr>
            <w:tcW w:w="5142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 w:hAnsi="標楷體"/>
                <w:sz w:val="24"/>
                <w:lang w:eastAsia="zh-TW"/>
              </w:rPr>
              <w:t>探討原子轉移自由基聚合之銅觸媒的溶解度差異對高分子產物之</w:t>
            </w:r>
            <w:proofErr w:type="gramStart"/>
            <w:r w:rsidRPr="00BA5371">
              <w:rPr>
                <w:rFonts w:eastAsia="標楷體" w:hAnsi="標楷體"/>
                <w:sz w:val="24"/>
                <w:lang w:eastAsia="zh-TW"/>
              </w:rPr>
              <w:t>幾何構形影響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BA5371">
              <w:rPr>
                <w:rFonts w:eastAsia="標楷體" w:hAnsi="標楷體"/>
                <w:sz w:val="24"/>
              </w:rPr>
              <w:t>陳宗呈</w:t>
            </w:r>
          </w:p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OB06</w:t>
            </w: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11:15~11:30</w:t>
            </w:r>
          </w:p>
        </w:tc>
        <w:tc>
          <w:tcPr>
            <w:tcW w:w="5142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</w:rPr>
              <w:t xml:space="preserve">Synthesis of poly ionic liquid base on </w:t>
            </w:r>
            <w:proofErr w:type="spellStart"/>
            <w:r w:rsidRPr="00BA5371">
              <w:rPr>
                <w:rFonts w:eastAsia="標楷體"/>
                <w:sz w:val="24"/>
              </w:rPr>
              <w:t>imidazole</w:t>
            </w:r>
            <w:proofErr w:type="spellEnd"/>
            <w:r w:rsidRPr="00BA5371">
              <w:rPr>
                <w:rFonts w:eastAsia="標楷體"/>
                <w:sz w:val="24"/>
              </w:rPr>
              <w:t xml:space="preserve"> and ethylene glycol</w:t>
            </w:r>
          </w:p>
        </w:tc>
        <w:tc>
          <w:tcPr>
            <w:tcW w:w="1559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BA5371">
              <w:rPr>
                <w:rFonts w:eastAsia="標楷體" w:hAnsi="標楷體"/>
                <w:sz w:val="24"/>
              </w:rPr>
              <w:t>黃耀霆</w:t>
            </w:r>
          </w:p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OB07</w:t>
            </w: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11:30~11:45</w:t>
            </w:r>
          </w:p>
        </w:tc>
        <w:tc>
          <w:tcPr>
            <w:tcW w:w="5142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 w:hAnsi="標楷體"/>
                <w:sz w:val="24"/>
                <w:lang w:eastAsia="zh-TW"/>
              </w:rPr>
              <w:t>含聚丙烯腈膠態高分子電解質於電雙層電容上之應用</w:t>
            </w:r>
          </w:p>
        </w:tc>
        <w:tc>
          <w:tcPr>
            <w:tcW w:w="1559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BA5371">
              <w:rPr>
                <w:rFonts w:eastAsia="標楷體" w:hAnsi="標楷體"/>
                <w:sz w:val="24"/>
              </w:rPr>
              <w:t>蔡欣雨</w:t>
            </w:r>
          </w:p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OB13</w:t>
            </w:r>
          </w:p>
        </w:tc>
        <w:tc>
          <w:tcPr>
            <w:tcW w:w="144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11:45~12:00</w:t>
            </w:r>
          </w:p>
        </w:tc>
        <w:tc>
          <w:tcPr>
            <w:tcW w:w="5142" w:type="dxa"/>
            <w:shd w:val="clear" w:color="auto" w:fill="auto"/>
          </w:tcPr>
          <w:p w:rsidR="002260F0" w:rsidRPr="00E07E99" w:rsidRDefault="002260F0" w:rsidP="00716816">
            <w:pPr>
              <w:spacing w:line="320" w:lineRule="exact"/>
              <w:rPr>
                <w:rFonts w:eastAsia="新細明體"/>
                <w:bCs/>
                <w:color w:val="000000"/>
                <w:sz w:val="24"/>
                <w:lang w:eastAsia="zh-TW"/>
              </w:rPr>
            </w:pPr>
            <w:r w:rsidRPr="00E07E99">
              <w:rPr>
                <w:bCs/>
                <w:color w:val="000000"/>
                <w:sz w:val="24"/>
              </w:rPr>
              <w:t xml:space="preserve">Side-chain phenol-functionalized poly(ether </w:t>
            </w:r>
            <w:proofErr w:type="spellStart"/>
            <w:r w:rsidRPr="00E07E99">
              <w:rPr>
                <w:bCs/>
                <w:color w:val="000000"/>
                <w:sz w:val="24"/>
              </w:rPr>
              <w:t>sulfone</w:t>
            </w:r>
            <w:proofErr w:type="spellEnd"/>
            <w:r w:rsidRPr="00E07E99">
              <w:rPr>
                <w:bCs/>
                <w:color w:val="000000"/>
                <w:sz w:val="24"/>
              </w:rPr>
              <w:t xml:space="preserve">) and its contribution to high-performance and flexible epoxy </w:t>
            </w:r>
            <w:proofErr w:type="spellStart"/>
            <w:r w:rsidRPr="00E07E99">
              <w:rPr>
                <w:bCs/>
                <w:color w:val="000000"/>
                <w:sz w:val="24"/>
              </w:rPr>
              <w:t>thermosets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260F0" w:rsidRPr="0059136A" w:rsidRDefault="002260F0" w:rsidP="0071681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lang w:eastAsia="zh-TW"/>
              </w:rPr>
            </w:pPr>
            <w:r w:rsidRPr="00E07E99">
              <w:rPr>
                <w:rFonts w:ascii="標楷體" w:eastAsia="標楷體" w:hAnsi="標楷體" w:hint="eastAsia"/>
                <w:color w:val="000000"/>
                <w:sz w:val="24"/>
              </w:rPr>
              <w:t>汪東誼</w:t>
            </w: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9781" w:type="dxa"/>
            <w:gridSpan w:val="5"/>
          </w:tcPr>
          <w:p w:rsidR="002260F0" w:rsidRPr="00215081" w:rsidRDefault="002260F0" w:rsidP="00716816">
            <w:pPr>
              <w:spacing w:line="320" w:lineRule="exact"/>
              <w:jc w:val="center"/>
              <w:rPr>
                <w:rFonts w:eastAsiaTheme="minorEastAsia"/>
                <w:sz w:val="24"/>
                <w:lang w:eastAsia="zh-TW"/>
              </w:rPr>
            </w:pPr>
            <w:r w:rsidRPr="00215081">
              <w:rPr>
                <w:rFonts w:eastAsiaTheme="minorEastAsia" w:hint="eastAsia"/>
                <w:sz w:val="24"/>
                <w:lang w:eastAsia="zh-TW"/>
              </w:rPr>
              <w:t>Lunch</w:t>
            </w:r>
          </w:p>
        </w:tc>
      </w:tr>
      <w:tr w:rsidR="002260F0" w:rsidTr="00716816">
        <w:tc>
          <w:tcPr>
            <w:tcW w:w="9781" w:type="dxa"/>
            <w:gridSpan w:val="5"/>
          </w:tcPr>
          <w:p w:rsidR="002260F0" w:rsidRPr="00215081" w:rsidRDefault="002260F0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 w:rsidRPr="00910B04">
              <w:rPr>
                <w:rFonts w:ascii="標楷體" w:eastAsia="標楷體" w:hAnsi="標楷體" w:hint="eastAsia"/>
                <w:sz w:val="24"/>
                <w:lang w:eastAsia="zh-TW"/>
              </w:rPr>
              <w:t>葉樹開</w:t>
            </w:r>
          </w:p>
        </w:tc>
      </w:tr>
      <w:tr w:rsidR="002260F0" w:rsidTr="00716816">
        <w:trPr>
          <w:trHeight w:val="650"/>
        </w:trPr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OB08</w:t>
            </w: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13:00~13:30</w:t>
            </w:r>
          </w:p>
        </w:tc>
        <w:tc>
          <w:tcPr>
            <w:tcW w:w="5142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 w:hAnsi="標楷體"/>
                <w:sz w:val="24"/>
                <w:lang w:eastAsia="zh-TW"/>
              </w:rPr>
              <w:t>合成同時具有立體規則性與</w:t>
            </w:r>
            <w:proofErr w:type="gramStart"/>
            <w:r w:rsidRPr="00BA5371">
              <w:rPr>
                <w:rFonts w:eastAsia="標楷體" w:hAnsi="標楷體"/>
                <w:sz w:val="24"/>
                <w:lang w:eastAsia="zh-TW"/>
              </w:rPr>
              <w:t>掌性之雙嵌段</w:t>
            </w:r>
            <w:proofErr w:type="gramEnd"/>
            <w:r w:rsidRPr="00BA5371">
              <w:rPr>
                <w:rFonts w:eastAsia="標楷體" w:hAnsi="標楷體"/>
                <w:sz w:val="24"/>
                <w:lang w:eastAsia="zh-TW"/>
              </w:rPr>
              <w:t>共聚物及其自組裝行為之研究</w:t>
            </w:r>
          </w:p>
        </w:tc>
        <w:tc>
          <w:tcPr>
            <w:tcW w:w="1559" w:type="dxa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BA5371">
              <w:rPr>
                <w:rFonts w:eastAsia="標楷體" w:hAnsi="標楷體"/>
                <w:color w:val="000000"/>
                <w:sz w:val="24"/>
                <w:lang w:eastAsia="zh-TW"/>
              </w:rPr>
              <w:t>蔡敬誠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OB</w:t>
            </w:r>
            <w:r>
              <w:rPr>
                <w:rFonts w:eastAsia="標楷體" w:hint="eastAsia"/>
                <w:sz w:val="24"/>
                <w:lang w:eastAsia="zh-TW"/>
              </w:rPr>
              <w:t>12</w:t>
            </w: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13:30~13:45</w:t>
            </w:r>
          </w:p>
        </w:tc>
        <w:tc>
          <w:tcPr>
            <w:tcW w:w="5142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</w:rPr>
              <w:t xml:space="preserve">Non-Phosgene Route (NPR) to Aliphatic </w:t>
            </w:r>
            <w:proofErr w:type="spellStart"/>
            <w:r w:rsidRPr="00BA5371">
              <w:rPr>
                <w:rFonts w:eastAsia="標楷體"/>
                <w:sz w:val="24"/>
              </w:rPr>
              <w:t>Diisocyanates</w:t>
            </w:r>
            <w:proofErr w:type="spellEnd"/>
            <w:r w:rsidRPr="00BA5371">
              <w:rPr>
                <w:rFonts w:eastAsia="標楷體"/>
                <w:sz w:val="24"/>
              </w:rPr>
              <w:t xml:space="preserve"> through </w:t>
            </w:r>
            <w:proofErr w:type="spellStart"/>
            <w:r w:rsidRPr="00BA5371">
              <w:rPr>
                <w:rFonts w:eastAsia="標楷體"/>
                <w:sz w:val="24"/>
              </w:rPr>
              <w:t>Diphenyl</w:t>
            </w:r>
            <w:proofErr w:type="spellEnd"/>
            <w:r w:rsidRPr="00BA5371">
              <w:rPr>
                <w:rFonts w:eastAsia="標楷體"/>
                <w:sz w:val="24"/>
              </w:rPr>
              <w:t xml:space="preserve"> </w:t>
            </w:r>
            <w:proofErr w:type="spellStart"/>
            <w:r w:rsidRPr="00BA5371">
              <w:rPr>
                <w:rFonts w:eastAsia="標楷體"/>
                <w:sz w:val="24"/>
              </w:rPr>
              <w:t>Biscarbamates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BA5371">
              <w:rPr>
                <w:rFonts w:eastAsia="標楷體" w:hAnsi="標楷體"/>
                <w:sz w:val="24"/>
              </w:rPr>
              <w:t>林維興</w:t>
            </w:r>
          </w:p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OB11</w:t>
            </w: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/>
                <w:sz w:val="24"/>
                <w:lang w:eastAsia="zh-TW"/>
              </w:rPr>
              <w:t>13:45~14:00</w:t>
            </w:r>
          </w:p>
        </w:tc>
        <w:tc>
          <w:tcPr>
            <w:tcW w:w="5142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BA5371">
              <w:rPr>
                <w:rFonts w:eastAsia="標楷體" w:hAnsi="標楷體"/>
                <w:sz w:val="24"/>
                <w:lang w:eastAsia="zh-TW"/>
              </w:rPr>
              <w:t>活性二</w:t>
            </w:r>
            <w:r w:rsidRPr="00BA5371">
              <w:rPr>
                <w:rFonts w:eastAsia="標楷體"/>
                <w:sz w:val="24"/>
                <w:lang w:eastAsia="zh-TW"/>
              </w:rPr>
              <w:t>(</w:t>
            </w:r>
            <w:r w:rsidRPr="00BA5371">
              <w:rPr>
                <w:rFonts w:eastAsia="標楷體" w:hAnsi="標楷體"/>
                <w:sz w:val="24"/>
                <w:lang w:eastAsia="zh-TW"/>
              </w:rPr>
              <w:t>丙烯</w:t>
            </w:r>
            <w:proofErr w:type="gramStart"/>
            <w:r w:rsidRPr="00BA5371">
              <w:rPr>
                <w:rFonts w:eastAsia="標楷體" w:hAnsi="標楷體"/>
                <w:sz w:val="24"/>
                <w:lang w:eastAsia="zh-TW"/>
              </w:rPr>
              <w:t>醯基</w:t>
            </w:r>
            <w:r w:rsidRPr="00BA5371">
              <w:rPr>
                <w:rFonts w:eastAsia="標楷體"/>
                <w:sz w:val="24"/>
                <w:lang w:eastAsia="zh-TW"/>
              </w:rPr>
              <w:t>)</w:t>
            </w:r>
            <w:r w:rsidRPr="00BA5371">
              <w:rPr>
                <w:rFonts w:eastAsia="標楷體" w:hAnsi="標楷體"/>
                <w:sz w:val="24"/>
                <w:lang w:eastAsia="zh-TW"/>
              </w:rPr>
              <w:t>胱</w:t>
            </w:r>
            <w:proofErr w:type="gramEnd"/>
            <w:r w:rsidRPr="00BA5371">
              <w:rPr>
                <w:rFonts w:eastAsia="標楷體" w:hAnsi="標楷體"/>
                <w:sz w:val="24"/>
                <w:lang w:eastAsia="zh-TW"/>
              </w:rPr>
              <w:t>胺單體合成及用於功能</w:t>
            </w:r>
            <w:proofErr w:type="gramStart"/>
            <w:r w:rsidRPr="00BA5371">
              <w:rPr>
                <w:rFonts w:eastAsia="標楷體" w:hAnsi="標楷體"/>
                <w:sz w:val="24"/>
                <w:lang w:eastAsia="zh-TW"/>
              </w:rPr>
              <w:t>性水膠</w:t>
            </w:r>
            <w:proofErr w:type="gramEnd"/>
            <w:r w:rsidRPr="00BA5371">
              <w:rPr>
                <w:rFonts w:eastAsia="標楷體" w:hAnsi="標楷體"/>
                <w:sz w:val="24"/>
                <w:lang w:eastAsia="zh-TW"/>
              </w:rPr>
              <w:t>的製備與其性質</w:t>
            </w:r>
          </w:p>
        </w:tc>
        <w:tc>
          <w:tcPr>
            <w:tcW w:w="1559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BA5371">
              <w:rPr>
                <w:rFonts w:eastAsia="標楷體" w:hAnsi="標楷體"/>
                <w:sz w:val="24"/>
              </w:rPr>
              <w:t>林宴夙</w:t>
            </w:r>
          </w:p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2260F0" w:rsidTr="00716816">
        <w:tc>
          <w:tcPr>
            <w:tcW w:w="79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5142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以下無議程</w:t>
            </w:r>
          </w:p>
        </w:tc>
        <w:tc>
          <w:tcPr>
            <w:tcW w:w="1559" w:type="dxa"/>
            <w:shd w:val="clear" w:color="auto" w:fill="auto"/>
          </w:tcPr>
          <w:p w:rsidR="002260F0" w:rsidRPr="00BA5371" w:rsidRDefault="002260F0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2260F0" w:rsidRPr="002655AE" w:rsidRDefault="002260F0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:rsidR="002260F0" w:rsidRDefault="002260F0" w:rsidP="002260F0">
      <w:pPr>
        <w:spacing w:line="320" w:lineRule="exact"/>
        <w:rPr>
          <w:rFonts w:eastAsiaTheme="minorEastAsia"/>
          <w:lang w:eastAsia="zh-TW"/>
        </w:rPr>
      </w:pPr>
    </w:p>
    <w:p w:rsidR="00D261DB" w:rsidRDefault="00D261DB"/>
    <w:sectPr w:rsidR="00D261DB" w:rsidSect="002260F0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02" w:rsidRDefault="00EA3F02" w:rsidP="00A258C2">
      <w:r>
        <w:separator/>
      </w:r>
    </w:p>
  </w:endnote>
  <w:endnote w:type="continuationSeparator" w:id="0">
    <w:p w:rsidR="00EA3F02" w:rsidRDefault="00EA3F02" w:rsidP="00A2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02" w:rsidRDefault="00EA3F02" w:rsidP="00A258C2">
      <w:r>
        <w:separator/>
      </w:r>
    </w:p>
  </w:footnote>
  <w:footnote w:type="continuationSeparator" w:id="0">
    <w:p w:rsidR="00EA3F02" w:rsidRDefault="00EA3F02" w:rsidP="00A25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0F0"/>
    <w:rsid w:val="00001E81"/>
    <w:rsid w:val="000134A5"/>
    <w:rsid w:val="00082639"/>
    <w:rsid w:val="000E3021"/>
    <w:rsid w:val="00101EE5"/>
    <w:rsid w:val="001B0909"/>
    <w:rsid w:val="00205089"/>
    <w:rsid w:val="00206DA7"/>
    <w:rsid w:val="002260F0"/>
    <w:rsid w:val="002264DD"/>
    <w:rsid w:val="00230E9D"/>
    <w:rsid w:val="0024478C"/>
    <w:rsid w:val="00277679"/>
    <w:rsid w:val="002C516A"/>
    <w:rsid w:val="00387C6D"/>
    <w:rsid w:val="003C534C"/>
    <w:rsid w:val="00414B91"/>
    <w:rsid w:val="004405ED"/>
    <w:rsid w:val="00491D4D"/>
    <w:rsid w:val="004E06AE"/>
    <w:rsid w:val="004E4D26"/>
    <w:rsid w:val="005663AE"/>
    <w:rsid w:val="00597963"/>
    <w:rsid w:val="005B739F"/>
    <w:rsid w:val="00606A30"/>
    <w:rsid w:val="00636C4C"/>
    <w:rsid w:val="00690E9A"/>
    <w:rsid w:val="00727FAB"/>
    <w:rsid w:val="007900DB"/>
    <w:rsid w:val="007B737E"/>
    <w:rsid w:val="007C2133"/>
    <w:rsid w:val="007E0A97"/>
    <w:rsid w:val="00893533"/>
    <w:rsid w:val="008C75B4"/>
    <w:rsid w:val="008D2F35"/>
    <w:rsid w:val="008D5F5D"/>
    <w:rsid w:val="008E7D67"/>
    <w:rsid w:val="008F2EA2"/>
    <w:rsid w:val="00906EB9"/>
    <w:rsid w:val="00930E94"/>
    <w:rsid w:val="00992411"/>
    <w:rsid w:val="009C54E9"/>
    <w:rsid w:val="009E0BDC"/>
    <w:rsid w:val="009F5DA8"/>
    <w:rsid w:val="00A258C2"/>
    <w:rsid w:val="00A344C9"/>
    <w:rsid w:val="00A44CDD"/>
    <w:rsid w:val="00AB39D6"/>
    <w:rsid w:val="00B276DF"/>
    <w:rsid w:val="00B507B2"/>
    <w:rsid w:val="00B50801"/>
    <w:rsid w:val="00BB4AF2"/>
    <w:rsid w:val="00BC47F1"/>
    <w:rsid w:val="00BE5625"/>
    <w:rsid w:val="00BF0C1F"/>
    <w:rsid w:val="00C06589"/>
    <w:rsid w:val="00C25D40"/>
    <w:rsid w:val="00C62516"/>
    <w:rsid w:val="00C76610"/>
    <w:rsid w:val="00CA0EDD"/>
    <w:rsid w:val="00CE6094"/>
    <w:rsid w:val="00D261DB"/>
    <w:rsid w:val="00D70CBB"/>
    <w:rsid w:val="00D81EF0"/>
    <w:rsid w:val="00DA1CCD"/>
    <w:rsid w:val="00DC46FE"/>
    <w:rsid w:val="00DD3F02"/>
    <w:rsid w:val="00E23036"/>
    <w:rsid w:val="00E756D3"/>
    <w:rsid w:val="00E84420"/>
    <w:rsid w:val="00E926A3"/>
    <w:rsid w:val="00EA0889"/>
    <w:rsid w:val="00EA3F02"/>
    <w:rsid w:val="00EA407E"/>
    <w:rsid w:val="00EA5848"/>
    <w:rsid w:val="00EA69B1"/>
    <w:rsid w:val="00EC01B9"/>
    <w:rsid w:val="00EF7824"/>
    <w:rsid w:val="00F525D5"/>
    <w:rsid w:val="00F529EC"/>
    <w:rsid w:val="00F760DF"/>
    <w:rsid w:val="00F81EEF"/>
    <w:rsid w:val="00FC2986"/>
    <w:rsid w:val="00FC78CE"/>
    <w:rsid w:val="00FD36BC"/>
    <w:rsid w:val="00FE5FA6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F0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25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58C2"/>
    <w:rPr>
      <w:kern w:val="2"/>
      <w:lang w:eastAsia="zh-CN"/>
    </w:rPr>
  </w:style>
  <w:style w:type="paragraph" w:styleId="a6">
    <w:name w:val="footer"/>
    <w:basedOn w:val="a"/>
    <w:link w:val="a7"/>
    <w:rsid w:val="00A25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58C2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楊怡寬</dc:creator>
  <cp:lastModifiedBy>楊怡寬</cp:lastModifiedBy>
  <cp:revision>2</cp:revision>
  <dcterms:created xsi:type="dcterms:W3CDTF">2013-12-27T13:15:00Z</dcterms:created>
  <dcterms:modified xsi:type="dcterms:W3CDTF">2013-12-27T13:17:00Z</dcterms:modified>
</cp:coreProperties>
</file>